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40"/>
          <w:szCs w:val="40"/>
        </w:rPr>
      </w:pPr>
      <w:r>
        <w:rPr>
          <w:rFonts w:cs="Times New Roman" w:ascii="Times New Roman" w:hAnsi="Times New Roman"/>
          <w:b/>
          <w:sz w:val="40"/>
          <w:szCs w:val="40"/>
        </w:rPr>
        <w:t xml:space="preserve">Актанышская территориальная организация </w:t>
      </w:r>
    </w:p>
    <w:p>
      <w:pPr>
        <w:pStyle w:val="Normal"/>
        <w:jc w:val="center"/>
        <w:rPr>
          <w:rFonts w:ascii="Times New Roman" w:hAnsi="Times New Roman" w:cs="Times New Roman"/>
          <w:b/>
          <w:sz w:val="40"/>
          <w:szCs w:val="40"/>
        </w:rPr>
      </w:pPr>
      <w:r>
        <w:rPr>
          <w:rFonts w:cs="Times New Roman" w:ascii="Times New Roman" w:hAnsi="Times New Roman"/>
          <w:b/>
          <w:sz w:val="40"/>
          <w:szCs w:val="40"/>
        </w:rPr>
        <w:t>Общероссийского Профсоюза образования</w:t>
      </w:r>
    </w:p>
    <w:p>
      <w:pPr>
        <w:pStyle w:val="Normal"/>
        <w:rPr>
          <w:rFonts w:ascii="Times New Roman" w:hAnsi="Times New Roman" w:cs="Times New Roman"/>
          <w:b/>
          <w:sz w:val="40"/>
          <w:szCs w:val="40"/>
        </w:rPr>
      </w:pPr>
      <w:r>
        <w:rPr>
          <w:rFonts w:cs="Times New Roman" w:ascii="Times New Roman" w:hAnsi="Times New Roman"/>
          <w:b/>
          <w:sz w:val="40"/>
          <w:szCs w:val="40"/>
        </w:rPr>
        <w:t xml:space="preserv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sz w:val="36"/>
          <w:szCs w:val="36"/>
        </w:rPr>
      </w:pPr>
      <w:r>
        <w:rPr>
          <w:rFonts w:cs="Times New Roman" w:ascii="Times New Roman" w:hAnsi="Times New Roman"/>
          <w:b/>
          <w:sz w:val="36"/>
          <w:szCs w:val="36"/>
        </w:rPr>
      </w:r>
    </w:p>
    <w:p>
      <w:pPr>
        <w:pStyle w:val="Normal"/>
        <w:jc w:val="center"/>
        <w:rPr>
          <w:rFonts w:ascii="Times New Roman" w:hAnsi="Times New Roman" w:cs="Times New Roman"/>
          <w:b/>
          <w:sz w:val="36"/>
          <w:szCs w:val="36"/>
        </w:rPr>
      </w:pPr>
      <w:r>
        <w:rPr>
          <w:rFonts w:cs="Times New Roman" w:ascii="Times New Roman" w:hAnsi="Times New Roman"/>
          <w:b/>
          <w:sz w:val="36"/>
          <w:szCs w:val="36"/>
        </w:rPr>
      </w:r>
    </w:p>
    <w:p>
      <w:pPr>
        <w:pStyle w:val="Normal"/>
        <w:jc w:val="center"/>
        <w:rPr>
          <w:rFonts w:ascii="Times New Roman" w:hAnsi="Times New Roman" w:cs="Times New Roman"/>
          <w:b/>
          <w:sz w:val="36"/>
          <w:szCs w:val="36"/>
        </w:rPr>
      </w:pPr>
      <w:r>
        <w:rPr>
          <w:rFonts w:cs="Times New Roman" w:ascii="Times New Roman" w:hAnsi="Times New Roman"/>
          <w:b/>
          <w:sz w:val="36"/>
          <w:szCs w:val="36"/>
        </w:rPr>
        <w:t>Изменения и дополнения</w:t>
      </w:r>
    </w:p>
    <w:p>
      <w:pPr>
        <w:pStyle w:val="Normal"/>
        <w:jc w:val="center"/>
        <w:rPr>
          <w:rFonts w:ascii="Times New Roman" w:hAnsi="Times New Roman" w:cs="Times New Roman"/>
          <w:sz w:val="28"/>
          <w:szCs w:val="28"/>
        </w:rPr>
      </w:pPr>
      <w:r>
        <w:rPr>
          <w:rFonts w:cs="Times New Roman" w:ascii="Times New Roman" w:hAnsi="Times New Roman"/>
          <w:sz w:val="28"/>
          <w:szCs w:val="28"/>
        </w:rPr>
        <w:t>В коллективный договор</w:t>
      </w:r>
      <w:r>
        <w:rPr>
          <w:rFonts w:cs="Times New Roman" w:ascii="Times New Roman" w:hAnsi="Times New Roman"/>
          <w:sz w:val="28"/>
          <w:szCs w:val="28"/>
          <w:lang w:val="tt-RU"/>
        </w:rPr>
        <w:t xml:space="preserve"> </w:t>
      </w:r>
      <w:r>
        <w:rPr>
          <w:rFonts w:cs="Times New Roman" w:ascii="Times New Roman" w:hAnsi="Times New Roman"/>
          <w:sz w:val="28"/>
          <w:szCs w:val="28"/>
        </w:rPr>
        <w:t>муниципального бюджетного общеобразовательного учреждения «</w:t>
      </w:r>
      <w:r>
        <w:rPr>
          <w:rFonts w:cs="Times New Roman" w:ascii="Times New Roman" w:hAnsi="Times New Roman"/>
          <w:sz w:val="28"/>
          <w:szCs w:val="28"/>
        </w:rPr>
        <w:t xml:space="preserve">Кузякинская основная </w:t>
      </w:r>
      <w:r>
        <w:rPr>
          <w:rFonts w:cs="Times New Roman" w:ascii="Times New Roman" w:hAnsi="Times New Roman"/>
          <w:sz w:val="28"/>
          <w:szCs w:val="28"/>
        </w:rPr>
        <w:t>общеобразовательная школа» Актанышского муниципального района Республики Татарстан на 2024 – 2026 годы</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Актаныш 2025 г</w:t>
      </w:r>
    </w:p>
    <w:p>
      <w:pPr>
        <w:pStyle w:val="Normal"/>
        <w:jc w:val="center"/>
        <w:rPr>
          <w:rFonts w:ascii="Times New Roman" w:hAnsi="Times New Roman" w:cs="Times New Roman"/>
          <w:b/>
          <w:sz w:val="36"/>
          <w:szCs w:val="36"/>
        </w:rPr>
      </w:pPr>
      <w:r>
        <w:rPr>
          <w:rFonts w:cs="Times New Roman" w:ascii="Times New Roman" w:hAnsi="Times New Roman"/>
          <w:b/>
          <w:sz w:val="36"/>
          <w:szCs w:val="36"/>
        </w:rPr>
        <w:t>Дополнительное соглашение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Стороны коллективного договора: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работодатель в лице его представителя – руководителя образовательной организации </w:t>
      </w:r>
      <w:r>
        <w:rPr>
          <w:rFonts w:cs="Times New Roman" w:ascii="Times New Roman" w:hAnsi="Times New Roman"/>
          <w:sz w:val="28"/>
          <w:szCs w:val="28"/>
        </w:rPr>
        <w:t>Мирзаяновой Рании Сагитовны</w:t>
      </w:r>
      <w:r>
        <w:rPr>
          <w:rFonts w:cs="Times New Roman" w:ascii="Times New Roman" w:hAnsi="Times New Roman"/>
          <w:sz w:val="28"/>
          <w:szCs w:val="28"/>
        </w:rPr>
        <w:t xml:space="preserve"> (далее работодатель) с одной стороны,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Pr>
          <w:rFonts w:cs="Times New Roman" w:ascii="Times New Roman" w:hAnsi="Times New Roman"/>
          <w:sz w:val="28"/>
          <w:szCs w:val="28"/>
        </w:rPr>
        <w:t>Шайхутдиновой Лилии Ханифовны</w:t>
      </w:r>
      <w:r>
        <w:rPr>
          <w:rFonts w:cs="Times New Roman" w:ascii="Times New Roman" w:hAnsi="Times New Roman"/>
          <w:sz w:val="28"/>
          <w:szCs w:val="28"/>
        </w:rPr>
        <w:t xml:space="preserve"> (далее выборный орган первичной профсоюзной организации) с другой стороны, пришли к Соглашению о внесении изменений и дополнений в коллективный договор МБОУ «</w:t>
      </w:r>
      <w:r>
        <w:rPr>
          <w:rFonts w:cs="Times New Roman" w:ascii="Times New Roman" w:hAnsi="Times New Roman"/>
          <w:sz w:val="28"/>
          <w:szCs w:val="28"/>
        </w:rPr>
        <w:t xml:space="preserve">Кузякинская основная </w:t>
      </w:r>
      <w:r>
        <w:rPr>
          <w:rFonts w:cs="Times New Roman" w:ascii="Times New Roman" w:hAnsi="Times New Roman"/>
          <w:sz w:val="28"/>
          <w:szCs w:val="28"/>
        </w:rPr>
        <w:t>общеобразовательная школа» Актанышского муниципального района Республики Татарстан на 2024 – 2026 гг. о нижеследующем:</w:t>
      </w:r>
    </w:p>
    <w:p>
      <w:pPr>
        <w:pStyle w:val="Normal"/>
        <w:spacing w:before="0" w:after="0"/>
        <w:ind w:firstLine="709"/>
        <w:jc w:val="both"/>
        <w:rPr>
          <w:rFonts w:ascii="Times New Roman" w:hAnsi="Times New Roman" w:cs="Times New Roman"/>
          <w:b/>
          <w:sz w:val="28"/>
          <w:szCs w:val="28"/>
        </w:rPr>
      </w:pPr>
      <w:r>
        <w:rPr>
          <w:rFonts w:cs="Times New Roman" w:ascii="Times New Roman" w:hAnsi="Times New Roman"/>
          <w:b/>
          <w:sz w:val="28"/>
          <w:szCs w:val="28"/>
        </w:rPr>
        <w:t xml:space="preserve">Раздел </w:t>
      </w:r>
      <w:r>
        <w:rPr>
          <w:rFonts w:cs="Times New Roman" w:ascii="Times New Roman" w:hAnsi="Times New Roman"/>
          <w:b/>
          <w:sz w:val="28"/>
          <w:szCs w:val="28"/>
          <w:lang w:val="en-US"/>
        </w:rPr>
        <w:t>I</w:t>
      </w:r>
      <w:r>
        <w:rPr>
          <w:rFonts w:cs="Times New Roman" w:ascii="Times New Roman" w:hAnsi="Times New Roman"/>
          <w:b/>
          <w:sz w:val="28"/>
          <w:szCs w:val="28"/>
        </w:rPr>
        <w:t>V.</w:t>
      </w:r>
      <w:r>
        <w:rPr>
          <w:rFonts w:cs="Times New Roman" w:ascii="Times New Roman" w:hAnsi="Times New Roman"/>
          <w:sz w:val="28"/>
          <w:szCs w:val="28"/>
        </w:rPr>
        <w:t xml:space="preserve">  </w:t>
      </w:r>
      <w:r>
        <w:rPr>
          <w:rFonts w:cs="Times New Roman" w:ascii="Times New Roman" w:hAnsi="Times New Roman"/>
          <w:b/>
          <w:sz w:val="28"/>
          <w:szCs w:val="28"/>
        </w:rPr>
        <w:t>Оплата и нормы труда изложить в следующей    редакции:</w:t>
      </w:r>
    </w:p>
    <w:p>
      <w:pPr>
        <w:pStyle w:val="Normal"/>
        <w:spacing w:before="0" w:after="0"/>
        <w:jc w:val="both"/>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 Стороны обязуются: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4.1.1. Осуществлять систематический анализ данных по материальному положению, выплате заработной платы работникам и оперативно информировать   МКУ «Управление образования» Исполнительного комитета Актанышского муниципального района об его итогах для принятия соответствующих мер.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4.1.3. Стороны в рамках коллективно-договорного регулирования принимают меры по: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доведению доли должностного оклада о платы труда в структуре заработной платы работников образования до уровня не ниже 70 процентов;</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Стороны подтверждают, что: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Запрещается какая-либо дискриминация при установлении и изменении условий оплаты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приложениями: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Положение об условиях оплаты труда работников общеобразовательных организаций Республики Татарстан;</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Положение об условиях оплаты труда работников дошкольных образовательных организаций Республики Татарстан;</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а) окладов (должностных окладов); ставок заработной платы;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б) выплат стимулирующего характера;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 выплат компенсационного характера.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4.4. Стимулирующий фонд оплаты труда государственных и муниципальных образовательных организаций включает в себя: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квалификационную категорию;</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выплаты за наличие Почетных званий и ведомственных наград;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стаж работы по профилю;</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интенсивность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работу в сельской местности;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премиальные и иные поощрительные выплаты;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качество выполняемых работ.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качество выполн</w:t>
      </w:r>
      <w:bookmarkStart w:id="0" w:name="_GoBack"/>
      <w:bookmarkEnd w:id="0"/>
      <w:r>
        <w:rPr>
          <w:rFonts w:cs="Times New Roman" w:ascii="Times New Roman" w:hAnsi="Times New Roman"/>
          <w:sz w:val="28"/>
          <w:szCs w:val="28"/>
        </w:rPr>
        <w:t xml:space="preserve">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вознаграждение должно следовать за достижением результата (принцип своевременности);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правила определения вознаграждения должны быть понятны каждому работнику (принцип справедливости);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4.5. Премиальные и иные поощрительные выплаты устанавливаются работникам образовательных организаций  по основному месту работы и основной должности ( з 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4.6. В целях повышения эффективности 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№597 «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4.7. Размеры, порядок и условия осуществления выплат за качества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населённых пунктах численностью населения менее 100 тыс. человек – 10 000 рублей)  в месяц за классное руководство.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4.9. К выплатам компенсационного характера в образовательных организациях относятся: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 работникам, занятым на работах с вредными и (или) опасными условиями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других условиях, отклоняющихся от нормальных);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педагогическим работникам за дополнительные виды работ;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работу с определенными категориями воспитанников (обучающихся);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выплаты компенсационного характера за специфику образовательной программы.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4.10. Выплаты компенсационного характера педагогическим работникам за дополнительные виды работ включают в себя: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проверку письменных работ (проверку тетрадей);</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 опытными участками, музеями;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работе педагогических и учебно– 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4.11.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деятельности    общеобразовательной организации на оплату труда на текущий финансовый год.</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4.13. Экономия фонда оплаты труда, сложившаяся в ходе исполнения плана финансово – 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Работодатель обязан обеспечить точный учет продолжительности сверхурочной работы каждого работника.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Сверхурочные работы не должны превышать для каждого работника четырех часов в течение двух дней подряд и 120 часов в год.</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4.20. Работа в выходной день и нерабочий праздничный день оплачивается не менее чем в двойном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сдельщикам – не менее чем по двойным сдельным расценкам;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4.21. Время простоя по вине работодателя оплачивается в размере не менее 2/3 средней заработной платы работника.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Время простоя по вине работника не оплачивается.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 период приостановления работы работник имеет право в свое рабочее время отсутствовать на рабочем месте.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4.24. Оплата труда работников, занятых на работах с вредными и (или) опасными условиями труда, устанавливается в повышенном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Повышение заработной платы по указанным основаниям производится по результатам специальной оценки условий труда.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№255-ФЗ «Об обязательном социальном страховании на случай временной нетрудоспособности и в связи с материнством».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pPr>
        <w:pStyle w:val="Normal"/>
        <w:spacing w:before="0" w:after="0"/>
        <w:ind w:firstLine="709"/>
        <w:rPr>
          <w:rFonts w:ascii="Times New Roman" w:hAnsi="Times New Roman" w:cs="Times New Roman"/>
          <w:sz w:val="28"/>
          <w:szCs w:val="28"/>
        </w:rPr>
      </w:pPr>
      <w:r>
        <w:rPr>
          <w:rFonts w:cs="Times New Roman" w:ascii="Times New Roman" w:hAnsi="Times New Roman"/>
          <w:sz w:val="28"/>
          <w:szCs w:val="28"/>
        </w:rPr>
        <w:t>4.27. Стороны рекомендуют: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sz w:val="36"/>
          <w:szCs w:val="36"/>
        </w:rPr>
      </w:pPr>
      <w:r>
        <w:rPr>
          <w:rFonts w:cs="Times New Roman" w:ascii="Times New Roman" w:hAnsi="Times New Roman"/>
          <w:b/>
          <w:sz w:val="28"/>
          <w:szCs w:val="28"/>
        </w:rPr>
        <w:t xml:space="preserve"> </w:t>
      </w:r>
      <w:r>
        <w:rPr>
          <w:rFonts w:cs="Times New Roman" w:ascii="Times New Roman" w:hAnsi="Times New Roman"/>
          <w:b/>
          <w:sz w:val="36"/>
          <w:szCs w:val="36"/>
        </w:rPr>
        <w:t>Раздел V.Социальные гарантии, льготы.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32"/>
          <w:szCs w:val="32"/>
        </w:rPr>
        <w:t xml:space="preserve">Пункт </w:t>
      </w:r>
      <w:r>
        <w:rPr>
          <w:rFonts w:cs="Times New Roman" w:ascii="Times New Roman" w:hAnsi="Times New Roman"/>
          <w:sz w:val="28"/>
          <w:szCs w:val="28"/>
        </w:rPr>
        <w:t>5.7. изложить в следующей редакции «5.7. Участие в Федеральной бонусной программе Общероссийского Профсоюза образования «Профплюс»: скидки и выгодные предложения, финансовые и страховые продукты для членов профсоюза при наличии электронного профсоюзного билета».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Раздел IX. Пенсионное обеспечение.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Пункт 9.4. изложить в следующий редакции «9.4.</w:t>
      </w:r>
      <w:r>
        <w:rPr>
          <w:sz w:val="28"/>
          <w:szCs w:val="28"/>
        </w:rPr>
        <w:t xml:space="preserve"> </w:t>
      </w:r>
      <w:r>
        <w:rPr>
          <w:rFonts w:cs="Times New Roman" w:ascii="Times New Roman" w:hAnsi="Times New Roman"/>
          <w:sz w:val="28"/>
          <w:szCs w:val="28"/>
        </w:rPr>
        <w:t xml:space="preserve">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p>
    <w:p>
      <w:pPr>
        <w:pStyle w:val="Normal"/>
        <w:spacing w:lineRule="auto" w:line="240" w:before="0" w:after="0"/>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09"/>
        <w:jc w:val="center"/>
        <w:rPr>
          <w:rFonts w:ascii="Times New Roman" w:hAnsi="Times New Roman" w:cs="Times New Roman"/>
          <w:b/>
          <w:sz w:val="28"/>
          <w:szCs w:val="28"/>
        </w:rPr>
      </w:pPr>
      <w:r>
        <w:rPr>
          <w:rFonts w:cs="Times New Roman" w:ascii="Times New Roman" w:hAnsi="Times New Roman"/>
          <w:b/>
          <w:sz w:val="28"/>
          <w:szCs w:val="28"/>
        </w:rPr>
        <w:t>Приложение №3</w:t>
      </w:r>
    </w:p>
    <w:p>
      <w:pPr>
        <w:pStyle w:val="Normal"/>
        <w:spacing w:lineRule="auto" w:line="240" w:before="0" w:after="0"/>
        <w:ind w:firstLine="709"/>
        <w:jc w:val="center"/>
        <w:rPr>
          <w:rFonts w:ascii="Times New Roman" w:hAnsi="Times New Roman" w:cs="Times New Roman"/>
          <w:b/>
          <w:sz w:val="28"/>
        </w:rPr>
      </w:pPr>
      <w:r>
        <w:rPr>
          <w:rFonts w:cs="Times New Roman" w:ascii="Times New Roman" w:hAnsi="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pPr>
        <w:pStyle w:val="Normal"/>
        <w:spacing w:lineRule="auto" w:line="240" w:before="0" w:after="0"/>
        <w:ind w:firstLine="709"/>
        <w:jc w:val="center"/>
        <w:rPr>
          <w:rFonts w:ascii="Times New Roman" w:hAnsi="Times New Roman" w:cs="Times New Roman"/>
          <w:b/>
          <w:sz w:val="28"/>
        </w:rPr>
      </w:pPr>
      <w:r>
        <w:rPr>
          <w:rFonts w:cs="Times New Roman" w:ascii="Times New Roman" w:hAnsi="Times New Roman"/>
          <w:b/>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возобновлении работы в должности, по которой установлена категория, независимо от перерывов в работе;</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tbl>
      <w:tblPr>
        <w:tblStyle w:val="625"/>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308"/>
        <w:gridCol w:w="5036"/>
      </w:tblGrid>
      <w:tr>
        <w:trPr/>
        <w:tc>
          <w:tcPr>
            <w:tcW w:w="4308" w:type="dxa"/>
            <w:tcBorders/>
          </w:tcPr>
          <w:p>
            <w:pPr>
              <w:pStyle w:val="Normal"/>
              <w:widowControl/>
              <w:spacing w:lineRule="auto" w:line="240" w:before="0" w:after="0"/>
              <w:jc w:val="center"/>
              <w:rPr>
                <w:rFonts w:ascii="Times New Roman" w:hAnsi="Times New Roman" w:cs="Times New Roman"/>
                <w:b/>
                <w:sz w:val="28"/>
                <w:szCs w:val="32"/>
              </w:rPr>
            </w:pPr>
            <w:r>
              <w:rPr>
                <w:rFonts w:eastAsia="Calibri" w:cs="Times New Roman" w:ascii="Times New Roman" w:hAnsi="Times New Roman"/>
                <w:b/>
                <w:kern w:val="0"/>
                <w:sz w:val="28"/>
                <w:szCs w:val="32"/>
                <w:lang w:val="ru-RU" w:eastAsia="en-US" w:bidi="ar-SA"/>
              </w:rPr>
              <w:t>Должность, по которой установлена квалификационная категория</w:t>
            </w:r>
          </w:p>
        </w:tc>
        <w:tc>
          <w:tcPr>
            <w:tcW w:w="5036" w:type="dxa"/>
            <w:tcBorders/>
          </w:tcPr>
          <w:p>
            <w:pPr>
              <w:pStyle w:val="Normal"/>
              <w:widowControl/>
              <w:spacing w:lineRule="auto" w:line="240" w:before="0" w:after="0"/>
              <w:jc w:val="center"/>
              <w:rPr>
                <w:rFonts w:ascii="Times New Roman" w:hAnsi="Times New Roman" w:cs="Times New Roman"/>
                <w:b/>
                <w:sz w:val="28"/>
                <w:szCs w:val="32"/>
              </w:rPr>
            </w:pPr>
            <w:r>
              <w:rPr>
                <w:rFonts w:eastAsia="Calibri" w:cs="Times New Roman" w:ascii="Times New Roman" w:hAnsi="Times New Roman"/>
                <w:b/>
                <w:kern w:val="0"/>
                <w:sz w:val="28"/>
                <w:szCs w:val="32"/>
                <w:lang w:val="ru-RU" w:eastAsia="en-US" w:bidi="ar-SA"/>
              </w:rPr>
              <w:t>Должность, по которой может учитываться категория, установленная по должности, указанной в графе №1</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w:t>
            </w:r>
          </w:p>
        </w:tc>
        <w:tc>
          <w:tcPr>
            <w:tcW w:w="5036" w:type="dxa"/>
            <w:tcBorders/>
          </w:tcPr>
          <w:p>
            <w:pPr>
              <w:pStyle w:val="Normal"/>
              <w:widowControl/>
              <w:spacing w:lineRule="auto" w:line="240" w:before="0" w:after="0"/>
              <w:ind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pPr>
              <w:pStyle w:val="Normal"/>
              <w:widowControl/>
              <w:spacing w:lineRule="auto" w:line="240" w:before="0" w:after="0"/>
              <w:ind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советник директора по воспитанию и взаимодействию с детскими общественными объединениями;</w:t>
            </w:r>
          </w:p>
          <w:p>
            <w:pPr>
              <w:pStyle w:val="Normal"/>
              <w:widowControl/>
              <w:spacing w:lineRule="auto" w:line="240" w:before="0" w:after="0"/>
              <w:ind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тьютор</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Преподаватель-организатор основ безопасности и защиты Родины</w:t>
            </w:r>
          </w:p>
        </w:tc>
        <w:tc>
          <w:tcPr>
            <w:tcW w:w="5036" w:type="dxa"/>
            <w:tcBorders/>
          </w:tcPr>
          <w:p>
            <w:pPr>
              <w:pStyle w:val="Normal"/>
              <w:widowControl/>
              <w:spacing w:lineRule="auto" w:line="240" w:before="0" w:after="0"/>
              <w:ind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pPr>
              <w:pStyle w:val="Normal"/>
              <w:widowControl/>
              <w:spacing w:lineRule="auto" w:line="240" w:before="0" w:after="0"/>
              <w:ind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физкультуры (физического воспитания), руководитель физического воспитания;</w:t>
            </w:r>
          </w:p>
          <w:p>
            <w:pPr>
              <w:pStyle w:val="Normal"/>
              <w:widowControl/>
              <w:spacing w:lineRule="auto" w:line="240" w:before="0" w:after="0"/>
              <w:ind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Советник директора по воспитанию и взаимодействию с детскими общественными объединениями</w:t>
            </w:r>
          </w:p>
        </w:tc>
      </w:tr>
      <w:tr>
        <w:trPr/>
        <w:tc>
          <w:tcPr>
            <w:tcW w:w="4308" w:type="dxa"/>
            <w:tcBorders/>
          </w:tcPr>
          <w:p>
            <w:pPr>
              <w:pStyle w:val="Normal"/>
              <w:widowControl/>
              <w:spacing w:lineRule="auto" w:line="240" w:before="0" w:after="0"/>
              <w:ind w:firstLine="851"/>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физкультуры (физического воспитания), руководитель физического воспитания</w:t>
            </w:r>
          </w:p>
        </w:tc>
        <w:tc>
          <w:tcPr>
            <w:tcW w:w="5036"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Преподаватель-организатор основ безопасности и защиты Родины</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Руководитель физического воспитания</w:t>
            </w:r>
          </w:p>
        </w:tc>
        <w:tc>
          <w:tcPr>
            <w:tcW w:w="5036"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Мастер производственного обучения</w:t>
            </w:r>
          </w:p>
        </w:tc>
        <w:tc>
          <w:tcPr>
            <w:tcW w:w="5036"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трудового обучения (технологии)</w:t>
            </w:r>
          </w:p>
        </w:tc>
        <w:tc>
          <w:tcPr>
            <w:tcW w:w="5036"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Мастер производственного обучения, инструктор по труду</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 дефектолог, учитель-логопед, педагог-психолог</w:t>
            </w:r>
          </w:p>
        </w:tc>
        <w:tc>
          <w:tcPr>
            <w:tcW w:w="5036" w:type="dxa"/>
            <w:tcBorders/>
          </w:tcPr>
          <w:p>
            <w:pPr>
              <w:pStyle w:val="Normal"/>
              <w:widowControl/>
              <w:spacing w:lineRule="auto" w:line="240" w:before="0" w:after="0"/>
              <w:ind w:firstLine="851"/>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pPr>
              <w:pStyle w:val="Normal"/>
              <w:widowControl/>
              <w:spacing w:lineRule="auto" w:line="240" w:before="0" w:after="0"/>
              <w:ind w:firstLine="851"/>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pPr>
              <w:pStyle w:val="Normal"/>
              <w:widowControl/>
              <w:spacing w:lineRule="auto" w:line="240" w:before="0" w:after="0"/>
              <w:ind w:firstLine="851"/>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педагог-психолог</w:t>
            </w:r>
          </w:p>
        </w:tc>
      </w:tr>
    </w:tbl>
    <w:p>
      <w:pPr>
        <w:pStyle w:val="Normal"/>
        <w:spacing w:lineRule="auto" w:line="240" w:before="0" w:after="0"/>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Пункт 3.2. дополнить: абзацем следующего содержания;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 </w:t>
      </w:r>
      <w:r>
        <w:rPr>
          <w:rFonts w:cs="Times New Roman" w:ascii="Times New Roman" w:hAnsi="Times New Roman"/>
          <w:sz w:val="28"/>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tbl>
      <w:tblPr>
        <w:tblStyle w:val="625"/>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110"/>
        <w:gridCol w:w="851"/>
        <w:gridCol w:w="4394"/>
      </w:tblGrid>
      <w:tr>
        <w:trPr/>
        <w:tc>
          <w:tcPr>
            <w:tcW w:w="4110" w:type="dxa"/>
            <w:tcBorders>
              <w:top w:val="nil"/>
              <w:left w:val="nil"/>
              <w:bottom w:val="nil"/>
              <w:right w:val="nil"/>
            </w:tcBorders>
          </w:tcPr>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Директор МБОУ «</w:t>
            </w:r>
            <w:r>
              <w:rPr>
                <w:rFonts w:eastAsia="Calibri" w:cs="Times New Roman" w:ascii="Times New Roman" w:hAnsi="Times New Roman"/>
                <w:kern w:val="0"/>
                <w:sz w:val="28"/>
                <w:szCs w:val="28"/>
                <w:lang w:val="ru-RU" w:eastAsia="en-US" w:bidi="ar-SA"/>
              </w:rPr>
              <w:t xml:space="preserve">Кузякинская основная общеобразовательная школа» </w:t>
            </w:r>
            <w:r>
              <w:rPr>
                <w:rFonts w:eastAsia="Calibri" w:cs="Times New Roman" w:ascii="Times New Roman" w:hAnsi="Times New Roman"/>
                <w:kern w:val="0"/>
                <w:sz w:val="28"/>
                <w:szCs w:val="28"/>
                <w:lang w:val="ru-RU" w:eastAsia="en-US" w:bidi="ar-SA"/>
              </w:rPr>
              <w:t>Актанышского муниципального района</w:t>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 Р.С.Мирзаянова</w:t>
            </w:r>
          </w:p>
        </w:tc>
        <w:tc>
          <w:tcPr>
            <w:tcW w:w="851" w:type="dxa"/>
            <w:tcBorders>
              <w:top w:val="nil"/>
              <w:left w:val="nil"/>
              <w:bottom w:val="nil"/>
              <w:right w:val="nil"/>
            </w:tcBorders>
          </w:tcPr>
          <w:p>
            <w:pPr>
              <w:pStyle w:val="Normal"/>
              <w:widowControl/>
              <w:spacing w:lineRule="auto" w:line="240" w:before="0" w:after="0"/>
              <w:ind w:firstLine="709"/>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c>
          <w:tcPr>
            <w:tcW w:w="4394" w:type="dxa"/>
            <w:tcBorders>
              <w:top w:val="nil"/>
              <w:left w:val="nil"/>
              <w:bottom w:val="nil"/>
              <w:right w:val="nil"/>
            </w:tcBorders>
          </w:tcPr>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Председатель первичной профсоюзной организации МБОУ  «</w:t>
            </w:r>
            <w:r>
              <w:rPr>
                <w:rFonts w:eastAsia="Calibri" w:cs="Times New Roman" w:ascii="Times New Roman" w:hAnsi="Times New Roman"/>
                <w:kern w:val="0"/>
                <w:sz w:val="28"/>
                <w:szCs w:val="28"/>
                <w:lang w:val="ru-RU" w:eastAsia="en-US" w:bidi="ar-SA"/>
              </w:rPr>
              <w:t>Кузякинская основная общеобразовательная школа»</w:t>
            </w:r>
            <w:r>
              <w:rPr>
                <w:rFonts w:eastAsia="Calibri" w:cs="Times New Roman" w:ascii="Times New Roman" w:hAnsi="Times New Roman"/>
                <w:kern w:val="0"/>
                <w:sz w:val="28"/>
                <w:szCs w:val="28"/>
                <w:lang w:val="ru-RU" w:eastAsia="en-US" w:bidi="ar-SA"/>
              </w:rPr>
              <w:t xml:space="preserve"> Актанышского муниципального района</w:t>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 Л.Х.Шайхутдинова</w:t>
            </w:r>
          </w:p>
        </w:tc>
      </w:tr>
    </w:tbl>
    <w:p>
      <w:pPr>
        <w:pStyle w:val="Normal"/>
        <w:widowControl/>
        <w:bidi w:val="0"/>
        <w:spacing w:lineRule="auto" w:line="259" w:beforeAutospacing="0" w:before="0" w:afterAutospacing="0" w:after="160"/>
        <w:jc w:val="left"/>
        <w:rPr/>
      </w:pPr>
      <w:r>
        <w:rPr>
          <w:rFonts w:cs="Times New Roman" w:ascii="Times New Roman" w:hAnsi="Times New Roman"/>
          <w:sz w:val="28"/>
          <w:szCs w:val="28"/>
        </w:rPr>
        <w:tab/>
        <w:tab/>
        <w:tab/>
        <w:t>_____03.2025 г.                                                 _____03.2025 г.</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
    <w:name w:val="Hyperlink"/>
    <w:uiPriority w:val="99"/>
    <w:unhideWhenUsed/>
    <w:rPr>
      <w:color w:val="0000FF" w:themeColor="hyperlink"/>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Style6">
    <w:name w:val="Footnote Reference"/>
    <w:rPr>
      <w:vertAlign w:val="superscript"/>
    </w:rPr>
  </w:style>
  <w:style w:type="character" w:styleId="EndnoteTextChar">
    <w:name w:val="Endnote Text Char"/>
    <w:uiPriority w:val="99"/>
    <w:qFormat/>
    <w:rPr>
      <w:sz w:val="20"/>
    </w:rPr>
  </w:style>
  <w:style w:type="character" w:styleId="Style7">
    <w:name w:val="Символ концевой сноски"/>
    <w:uiPriority w:val="99"/>
    <w:semiHidden/>
    <w:unhideWhenUsed/>
    <w:qFormat/>
    <w:rPr>
      <w:vertAlign w:val="superscript"/>
    </w:rPr>
  </w:style>
  <w:style w:type="character" w:styleId="Style8">
    <w:name w:val="Endnote Reference"/>
    <w:rPr>
      <w:vertAlign w:val="superscript"/>
    </w:rPr>
  </w:style>
  <w:style w:type="character" w:styleId="DefaultParagraphFont" w:default="1">
    <w:name w:val="Default Paragraph Font"/>
    <w:uiPriority w:val="1"/>
    <w:semiHidden/>
    <w:unhideWhenUsed/>
    <w:qFormat/>
    <w:rPr/>
  </w:style>
  <w:style w:type="character" w:styleId="Style9" w:customStyle="1">
    <w:name w:val="Текст выноски Знак"/>
    <w:basedOn w:val="DefaultParagraphFont"/>
    <w:uiPriority w:val="99"/>
    <w:semiHidden/>
    <w:qFormat/>
    <w:rPr>
      <w:rFonts w:ascii="Segoe UI" w:hAnsi="Segoe UI" w:cs="Segoe UI"/>
      <w:sz w:val="18"/>
      <w:szCs w:val="18"/>
    </w:rPr>
  </w:style>
  <w:style w:type="character" w:styleId="Style10" w:customStyle="1">
    <w:name w:val="Без интервала Знак"/>
    <w:uiPriority w:val="1"/>
    <w:qFormat/>
    <w:rPr>
      <w:rFonts w:ascii="Times New Roman" w:hAnsi="Times New Roman" w:eastAsia="Times New Roman" w:cs="Times New Roman"/>
      <w:sz w:val="24"/>
      <w:szCs w:val="24"/>
      <w:lang w:eastAsia="ru-RU"/>
    </w:rPr>
  </w:style>
  <w:style w:type="paragraph" w:styleId="Style11">
    <w:name w:val="Заголовок"/>
    <w:basedOn w:val="Normal"/>
    <w:next w:val="Style12"/>
    <w:qFormat/>
    <w:pPr>
      <w:keepNext w:val="true"/>
      <w:spacing w:before="240" w:after="120"/>
    </w:pPr>
    <w:rPr>
      <w:rFonts w:ascii="Liberation Sans" w:hAnsi="Liberation Sans" w:eastAsia="Microsoft YaHei" w:cs="Arial"/>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cs="Arial"/>
    </w:rPr>
  </w:style>
  <w:style w:type="paragraph" w:styleId="Style14">
    <w:name w:val="Caption"/>
    <w:basedOn w:val="Normal"/>
    <w:uiPriority w:val="35"/>
    <w:semiHidden/>
    <w:unhideWhenUsed/>
    <w:qFormat/>
    <w:pPr>
      <w:spacing w:lineRule="auto" w:line="276"/>
    </w:pPr>
    <w:rPr>
      <w:b/>
      <w:bCs/>
      <w:color w:val="4F81BD" w:themeColor="accent1"/>
      <w:sz w:val="18"/>
      <w:szCs w:val="18"/>
    </w:rPr>
  </w:style>
  <w:style w:type="paragraph" w:styleId="Style15">
    <w:name w:val="Указатель"/>
    <w:basedOn w:val="Normal"/>
    <w:qFormat/>
    <w:pPr>
      <w:suppressLineNumbers/>
    </w:pPr>
    <w:rPr>
      <w:rFonts w:cs="Arial"/>
    </w:rPr>
  </w:style>
  <w:style w:type="paragraph" w:styleId="ListParagraph">
    <w:name w:val="List Paragraph"/>
    <w:basedOn w:val="Normal"/>
    <w:uiPriority w:val="34"/>
    <w:qFormat/>
    <w:pPr>
      <w:spacing w:before="0" w:after="160"/>
      <w:ind w:left="720" w:hanging="0"/>
      <w:contextualSpacing/>
    </w:pPr>
    <w:rPr/>
  </w:style>
  <w:style w:type="paragraph" w:styleId="Style16">
    <w:name w:val="Title"/>
    <w:basedOn w:val="Normal"/>
    <w:uiPriority w:val="10"/>
    <w:qFormat/>
    <w:pPr>
      <w:spacing w:before="300" w:after="200"/>
      <w:contextualSpacing/>
    </w:pPr>
    <w:rPr>
      <w:sz w:val="48"/>
      <w:szCs w:val="48"/>
    </w:rPr>
  </w:style>
  <w:style w:type="paragraph" w:styleId="Style17">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160"/>
      <w:ind w:left="720" w:right="720" w:hanging="0"/>
    </w:pPr>
    <w:rPr>
      <w:i/>
    </w:rPr>
  </w:style>
  <w:style w:type="paragraph" w:styleId="Style18">
    <w:name w:val="Колонтитул"/>
    <w:basedOn w:val="Normal"/>
    <w:qFormat/>
    <w:pPr/>
    <w:rPr/>
  </w:style>
  <w:style w:type="paragraph" w:styleId="Style19">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Style20">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Style21">
    <w:name w:val="Footnote Text"/>
    <w:basedOn w:val="Normal"/>
    <w:uiPriority w:val="99"/>
    <w:semiHidden/>
    <w:unhideWhenUsed/>
    <w:pPr>
      <w:spacing w:lineRule="auto" w:line="240" w:before="0" w:after="40"/>
    </w:pPr>
    <w:rPr>
      <w:sz w:val="18"/>
    </w:rPr>
  </w:style>
  <w:style w:type="paragraph" w:styleId="Style22">
    <w:name w:val="Endnote Text"/>
    <w:basedOn w:val="Normal"/>
    <w:uiPriority w:val="99"/>
    <w:semiHidden/>
    <w:unhideWhenUsed/>
    <w:pPr>
      <w:spacing w:lineRule="auto" w:line="240" w:before="0" w:after="0"/>
    </w:pPr>
    <w:rPr>
      <w:sz w:val="20"/>
    </w:rPr>
  </w:style>
  <w:style w:type="paragraph" w:styleId="11">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Style23">
    <w:name w:val="Index Heading"/>
    <w:basedOn w:val="Style11"/>
    <w:pPr/>
    <w:rPr/>
  </w:style>
  <w:style w:type="paragraph" w:styleId="Style24">
    <w:name w:val="TOC Heading"/>
    <w:uiPriority w:val="39"/>
    <w:unhideWhenUsed/>
    <w:pPr>
      <w:widowControl/>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qFormat/>
    <w:pPr>
      <w:spacing w:before="0" w:afterAutospacing="0" w:after="0"/>
    </w:pPr>
    <w:rPr/>
  </w:style>
  <w:style w:type="paragraph" w:styleId="BalloonText">
    <w:name w:val="Balloon Text"/>
    <w:basedOn w:val="Normal"/>
    <w:uiPriority w:val="99"/>
    <w:semiHidden/>
    <w:unhideWhenUsed/>
    <w:qFormat/>
    <w:pPr>
      <w:spacing w:lineRule="auto" w:line="240" w:before="0" w:after="0"/>
    </w:pPr>
    <w:rPr>
      <w:rFonts w:ascii="Segoe UI" w:hAnsi="Segoe UI" w:cs="Segoe UI"/>
      <w:sz w:val="18"/>
      <w:szCs w:val="18"/>
    </w:rPr>
  </w:style>
  <w:style w:type="paragraph" w:styleId="NoSpacing">
    <w:name w:val="No Spacing"/>
    <w:uiPriority w:val="1"/>
    <w:qFormat/>
    <w:pPr>
      <w:widowControl/>
      <w:bidi w:val="0"/>
      <w:spacing w:lineRule="auto" w:line="240" w:beforeAutospacing="0" w:before="0" w:afterAutospacing="0" w:after="0"/>
      <w:jc w:val="left"/>
    </w:pPr>
    <w:rPr>
      <w:rFonts w:ascii="Times New Roman" w:hAnsi="Times New Roman" w:eastAsia="Times New Roman" w:cs="Times New Roman"/>
      <w:color w:val="auto"/>
      <w:kern w:val="0"/>
      <w:sz w:val="24"/>
      <w:szCs w:val="24"/>
      <w:lang w:eastAsia="ru-RU" w:val="ru-RU" w:bidi="ar-SA"/>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07B43-77CF-4AFD-A8CE-6AA9623FC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Application>LibreOffice/7.5.1.2$Windows_X86_64 LibreOffice_project/fcbaee479e84c6cd81291587d2ee68cba099e129</Application>
  <AppVersion>15.0000</AppVersion>
  <Pages>15</Pages>
  <Words>3708</Words>
  <Characters>28702</Characters>
  <CharactersWithSpaces>32475</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2022-03-11T18:11:00Z</dcterms:created>
  <dc:creator>Айрат</dc:creator>
  <dc:description/>
  <dc:language>ru-RU</dc:language>
  <cp:lastModifiedBy/>
  <dcterms:modified xsi:type="dcterms:W3CDTF">2025-03-21T21:53:01Z</dcterms:modified>
  <cp:revision>78</cp:revision>
  <dc:subject/>
  <dc:title/>
</cp:coreProperties>
</file>